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400"/>
        <w:jc w:val="center"/>
      </w:pPr>
      <w:r>
        <w:drawing>
          <wp:inline distT="0" distB="0" distL="0" distR="0">
            <wp:extent cx="2857500" cy="1019175"/>
            <wp:effectExtent t="0" r="0" b="0" l="0"/>
            <wp:docPr id="1" name="logo" descr="Logo Solutions" title="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57500" cy="1019175"/>
                    </a:xfrm>
                    <a:prstGeom prst="rect">
                      <a:avLst/>
                    </a:prstGeom>
                  </pic:spPr>
                </pic:pic>
              </a:graphicData>
            </a:graphic>
          </wp:inline>
        </w:drawing>
      </w:r>
    </w:p>
    <w:p>
      <w:pPr>
        <w:spacing w:after="120" w:before="600"/>
        <w:jc w:val="center"/>
      </w:pPr>
      <w:r>
        <w:rPr>
          <w:b/>
          <w:bCs/>
          <w:color w:val="0B1B2B"/>
          <w:sz w:val="30"/>
          <w:szCs w:val="30"/>
        </w:rPr>
        <w:t xml:space="preserve">HƯỚNG DẪN SỬ DỤNG</w:t>
      </w:r>
    </w:p>
    <w:p>
      <w:pPr>
        <w:spacing w:after="200"/>
        <w:jc w:val="center"/>
      </w:pPr>
      <w:r>
        <w:rPr>
          <w:b/>
          <w:bCs/>
          <w:color w:val="1F7DC1"/>
          <w:sz w:val="48"/>
          <w:szCs w:val="48"/>
        </w:rPr>
        <w:t xml:space="preserve">DUYỆT NHÀ CUNG CẤP (NCC)</w:t>
      </w:r>
    </w:p>
    <w:p>
      <w:pPr>
        <w:pBdr>
          <w:bottom w:val="single" w:color="1F7DC1" w:sz="12" w:space="12"/>
        </w:pBdr>
        <w:spacing w:after="80"/>
        <w:jc w:val="center"/>
      </w:pPr>
    </w:p>
    <w:p>
      <w:pPr>
        <w:spacing w:after="60" w:before="200"/>
        <w:jc w:val="center"/>
      </w:pPr>
      <w:r>
        <w:rPr>
          <w:color w:val="0B1B2B"/>
          <w:sz w:val="24"/>
          <w:szCs w:val="24"/>
        </w:rPr>
        <w:t xml:space="preserve">Hệ thống E-Office — Công ty TNHH Xây dựng Solutions</w:t>
      </w:r>
    </w:p>
    <w:p>
      <w:pPr>
        <w:spacing w:after="40"/>
        <w:jc w:val="center"/>
      </w:pPr>
      <w:r>
        <w:rPr>
          <w:i/>
          <w:iCs/>
          <w:color w:val="5A6B82"/>
          <w:sz w:val="20"/>
          <w:szCs w:val="20"/>
        </w:rPr>
        <w:t xml:space="preserve">Phân hệ: Phiếu Duyệt Nhà cung cấp / Thầu phụ / Tổ đội (tiền hợp đồng)</w:t>
      </w:r>
    </w:p>
    <w:p>
      <w:pPr>
        <w:spacing w:after="40" w:before="1600"/>
        <w:jc w:val="center"/>
      </w:pPr>
      <w:r>
        <w:rPr>
          <w:color w:val="8A94A6"/>
          <w:sz w:val="20"/>
          <w:szCs w:val="20"/>
        </w:rPr>
        <w:t xml:space="preserve">Phiên bản 1.0  ·  Tháng 6/2026</w:t>
      </w:r>
    </w:p>
    <w:p>
      <w:pPr>
        <w:jc w:val="center"/>
      </w:pPr>
      <w:r>
        <w:rPr>
          <w:b/>
          <w:bCs/>
          <w:color w:val="8A94A6"/>
          <w:sz w:val="18"/>
          <w:szCs w:val="18"/>
        </w:rPr>
        <w:t xml:space="preserve">TÀI LIỆU HƯỚNG DẪN NỘI BỘ</w:t>
      </w:r>
    </w:p>
    <w:p>
      <w:pPr>
        <w:pStyle w:val="Heading1"/>
        <w:pageBreakBefore/>
      </w:pPr>
      <w:r>
        <w:t xml:space="preserve">Mục lục</w:t>
      </w:r>
    </w:p>
    <w:sdt>
      <w:sdtPr>
        <w:alias w:val="Mục lục"/>
      </w:sdtPr>
      <w:sdtContent>
        <w:p>
          <w:r>
            <w:fldChar w:fldCharType="begin" w:dirty="true"/>
            <w:instrText xml:space="preserve">TOC \h \o "1-2"</w:instrText>
            <w:fldChar w:fldCharType="separate"/>
          </w:r>
        </w:p>
        <w:p>
          <w:r>
            <w:fldChar w:fldCharType="end"/>
          </w:r>
        </w:p>
      </w:sdtContent>
    </w:sdt>
    <w:p>
      <w:pPr>
        <w:pStyle w:val="Heading1"/>
        <w:pageBreakBefore/>
      </w:pPr>
      <w:r>
        <w:t xml:space="preserve">1. Tổng quan</w:t>
      </w:r>
    </w:p>
    <w:p>
      <w:pPr>
        <w:spacing w:after="120" w:line="300"/>
      </w:pPr>
      <w:r>
        <w:t xml:space="preserve">Phiếu Duyệt Nhà cung cấp (NCC) là phiếu trình duyệt so sánh giá, lựa chọn nhà cung cấp / nhà thầu phụ / tổ đội TRƯỚC khi ký hợp đồng. Phiếu đi qua nhiều cấp duyệt theo quy trình do Quản trị cấu hình; khi được duyệt, có thể tạo hợp đồng ngay 1 lần bấm.</w:t>
      </w:r>
    </w:p>
    <w:p>
      <w:pPr>
        <w:pStyle w:val="Heading2"/>
      </w:pPr>
      <w:r>
        <w:t xml:space="preserve">1.1. Các vai trò</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4226"/>
      </w:tblGrid>
      <w:tr>
        <w:tc>
          <w:tcPr>
            <w:tcW w:type="dxa" w:w="2600"/>
            <w:tcBorders>
              <w:top w:val="single" w:color="C9D4E3" w:sz="1"/>
              <w:left w:val="single" w:color="C9D4E3" w:sz="1"/>
              <w:bottom w:val="single" w:color="C9D4E3" w:sz="1"/>
              <w:right w:val="single" w:color="C9D4E3" w:sz="1"/>
            </w:tcBorders>
            <w:shd w:fill="1F7DC1" w:val="clear"/>
            <w:tcMar>
              <w:top w:type="dxa" w:w="70"/>
              <w:left w:type="dxa" w:w="110"/>
              <w:bottom w:type="dxa" w:w="70"/>
              <w:right w:type="dxa" w:w="110"/>
            </w:tcMar>
            <w:vAlign w:val="center"/>
          </w:tcPr>
          <w:p>
            <w:r>
              <w:rPr>
                <w:b/>
                <w:bCs/>
                <w:color w:val="FFFFFF"/>
                <w:sz w:val="20"/>
                <w:szCs w:val="20"/>
              </w:rPr>
              <w:t xml:space="preserve">Vai trò</w:t>
            </w:r>
          </w:p>
        </w:tc>
        <w:tc>
          <w:tcPr>
            <w:tcW w:type="dxa" w:w="2200"/>
            <w:tcBorders>
              <w:top w:val="single" w:color="C9D4E3" w:sz="1"/>
              <w:left w:val="single" w:color="C9D4E3" w:sz="1"/>
              <w:bottom w:val="single" w:color="C9D4E3" w:sz="1"/>
              <w:right w:val="single" w:color="C9D4E3" w:sz="1"/>
            </w:tcBorders>
            <w:shd w:fill="1F7DC1" w:val="clear"/>
            <w:tcMar>
              <w:top w:type="dxa" w:w="70"/>
              <w:left w:type="dxa" w:w="110"/>
              <w:bottom w:type="dxa" w:w="70"/>
              <w:right w:type="dxa" w:w="110"/>
            </w:tcMar>
            <w:vAlign w:val="center"/>
          </w:tcPr>
          <w:p>
            <w:r>
              <w:rPr>
                <w:b/>
                <w:bCs/>
                <w:color w:val="FFFFFF"/>
                <w:sz w:val="20"/>
                <w:szCs w:val="20"/>
              </w:rPr>
              <w:t xml:space="preserve">Phòng ban</w:t>
            </w:r>
          </w:p>
        </w:tc>
        <w:tc>
          <w:tcPr>
            <w:tcW w:type="dxa" w:w="4226"/>
            <w:tcBorders>
              <w:top w:val="single" w:color="C9D4E3" w:sz="1"/>
              <w:left w:val="single" w:color="C9D4E3" w:sz="1"/>
              <w:bottom w:val="single" w:color="C9D4E3" w:sz="1"/>
              <w:right w:val="single" w:color="C9D4E3" w:sz="1"/>
            </w:tcBorders>
            <w:shd w:fill="1F7DC1" w:val="clear"/>
            <w:tcMar>
              <w:top w:type="dxa" w:w="70"/>
              <w:left w:type="dxa" w:w="110"/>
              <w:bottom w:type="dxa" w:w="70"/>
              <w:right w:type="dxa" w:w="110"/>
            </w:tcMar>
            <w:vAlign w:val="center"/>
          </w:tcPr>
          <w:p>
            <w:r>
              <w:rPr>
                <w:b/>
                <w:bCs/>
                <w:color w:val="FFFFFF"/>
                <w:sz w:val="20"/>
                <w:szCs w:val="20"/>
              </w:rPr>
              <w:t xml:space="preserve">Công việc trong quy trình</w:t>
            </w:r>
          </w:p>
        </w:tc>
      </w:tr>
      <w:tr>
        <w:tc>
          <w:tcPr>
            <w:tcW w:type="dxa" w:w="26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Người soạn phiếu</w:t>
            </w:r>
          </w:p>
        </w:tc>
        <w:tc>
          <w:tcPr>
            <w:tcW w:type="dxa" w:w="22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Cung ứng / các phòng</w:t>
            </w:r>
          </w:p>
        </w:tc>
        <w:tc>
          <w:tcPr>
            <w:tcW w:type="dxa" w:w="4226"/>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Tạo phiếu, chọn dự án &amp; hạng mục, nhập NCC + báo giá + ngân sách, gửi duyệt.</w:t>
            </w:r>
          </w:p>
        </w:tc>
      </w:tr>
      <w:tr>
        <w:tc>
          <w:tcPr>
            <w:tcW w:type="dxa" w:w="26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Phòng Cung ứng (PRO)</w:t>
            </w:r>
          </w:p>
        </w:tc>
        <w:tc>
          <w:tcPr>
            <w:tcW w:type="dxa" w:w="22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Cung ứng</w:t>
            </w:r>
          </w:p>
        </w:tc>
        <w:tc>
          <w:tcPr>
            <w:tcW w:type="dxa" w:w="4226"/>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Duyệt ở bước Cung ứng; nhập giá đề xuất PRO.</w:t>
            </w:r>
          </w:p>
        </w:tc>
      </w:tr>
      <w:tr>
        <w:tc>
          <w:tcPr>
            <w:tcW w:type="dxa" w:w="26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Phòng Kiểm soát Chi phí (CCM)</w:t>
            </w:r>
          </w:p>
        </w:tc>
        <w:tc>
          <w:tcPr>
            <w:tcW w:type="dxa" w:w="22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Kiểm soát Chi phí</w:t>
            </w:r>
          </w:p>
        </w:tc>
        <w:tc>
          <w:tcPr>
            <w:tcW w:type="dxa" w:w="4226"/>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Duyệt ở bước Kiểm soát Chi phí; nhập giá đề xuất CCM.</w:t>
            </w:r>
          </w:p>
        </w:tc>
      </w:tr>
      <w:tr>
        <w:tc>
          <w:tcPr>
            <w:tcW w:type="dxa" w:w="26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Ban Giám đốc (CEO)</w:t>
            </w:r>
          </w:p>
        </w:tc>
        <w:tc>
          <w:tcPr>
            <w:tcW w:type="dxa" w:w="22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Ban Giám đốc</w:t>
            </w:r>
          </w:p>
        </w:tc>
        <w:tc>
          <w:tcPr>
            <w:tcW w:type="dxa" w:w="4226"/>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Duyệt cuối — trừ khi một cấp dưới được cấu hình "Duyệt là KẾT THÚC".</w:t>
            </w:r>
          </w:p>
        </w:tc>
      </w:tr>
      <w:tr>
        <w:tc>
          <w:tcPr>
            <w:tcW w:type="dxa" w:w="26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Quản trị (Admin)</w:t>
            </w:r>
          </w:p>
        </w:tc>
        <w:tc>
          <w:tcPr>
            <w:tcW w:type="dxa" w:w="2200"/>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w:t>
            </w:r>
          </w:p>
        </w:tc>
        <w:tc>
          <w:tcPr>
            <w:tcW w:type="dxa" w:w="4226"/>
            <w:tcBorders>
              <w:top w:val="single" w:color="C9D4E3" w:sz="1"/>
              <w:left w:val="single" w:color="C9D4E3" w:sz="1"/>
              <w:bottom w:val="single" w:color="C9D4E3" w:sz="1"/>
              <w:right w:val="single" w:color="C9D4E3" w:sz="1"/>
            </w:tcBorders>
            <w:shd w:fill="FFFFFF" w:val="clear"/>
            <w:tcMar>
              <w:top w:type="dxa" w:w="70"/>
              <w:left w:type="dxa" w:w="110"/>
              <w:bottom w:type="dxa" w:w="70"/>
              <w:right w:type="dxa" w:w="110"/>
            </w:tcMar>
            <w:vAlign w:val="center"/>
          </w:tcPr>
          <w:p>
            <w:r>
              <w:rPr>
                <w:b w:val="false"/>
                <w:bCs w:val="false"/>
                <w:color w:val="0B1B2B"/>
                <w:sz w:val="20"/>
                <w:szCs w:val="20"/>
              </w:rPr>
              <w:t xml:space="preserve">Cấu hình quy trình duyệt, quản lý người dùng &amp; phân quyền.</w:t>
            </w:r>
          </w:p>
        </w:tc>
      </w:tr>
    </w:tbl>
    <w:p>
      <w:pPr>
        <w:pStyle w:val="Heading2"/>
      </w:pPr>
      <w:r>
        <w:t xml:space="preserve">1.2. Luồng tổng quát</w:t>
      </w:r>
    </w:p>
    <w:p>
      <w:pPr>
        <w:spacing w:after="120" w:line="300"/>
      </w:pPr>
      <w:r>
        <w:rPr>
          <w:b/>
          <w:bCs/>
        </w:rPr>
        <w:t xml:space="preserve">Tạo phiếu  →  Gửi duyệt  →  Phòng Cung ứng duyệt  →  Phòng Kiểm soát Chi phí duyệt  →  Ban Giám đốc duyệt  →  Đã duyệt  →  Tạo hợp đồng.</w:t>
      </w:r>
    </w:p>
    <w:p>
      <w:pPr>
        <w:pStyle w:val="Heading2"/>
      </w:pPr>
      <w:r>
        <w:t xml:space="preserve">1.3. Quy ước ảnh hướng dẫn</w:t>
      </w:r>
    </w:p>
    <w:p>
      <w:pPr>
        <w:spacing w:after="120" w:line="300"/>
      </w:pPr>
      <w:r>
        <w:t xml:space="preserve">Trong tài liệu này, mỗi ảnh chụp màn hình được KHOANH ĐỎ kèm số thứ tự (1, 2, 3, …) đặt tại đúng vị trí cần thao tác. Bạn hãy làm theo đúng trình tự số trên ảnh.</w:t>
      </w:r>
    </w:p>
    <w:p>
      <w:pPr>
        <w:pBdr>
          <w:left w:val="single" w:color="1F7DC1" w:sz="18" w:space="10"/>
        </w:pBdr>
        <w:shd w:fill="EAF3FB" w:val="clear"/>
        <w:spacing w:after="140" w:before="80" w:line="290"/>
      </w:pPr>
      <w:r>
        <w:rPr>
          <w:b/>
          <w:bCs/>
          <w:color w:val="1F7DC1"/>
        </w:rPr>
        <w:t xml:space="preserve">Lưu ý:  </w:t>
      </w:r>
      <w:r>
        <w:rPr>
          <w:i/>
          <w:iCs/>
        </w:rPr>
        <w:t xml:space="preserve">Một số quy trình được cấu hình "Duyệt là KẾT THÚC" ở một cấp giữa — khi cấp đó duyệt là phiếu hoàn tất, KHÔNG trình tiếp lên Ban Giám đốc (xem mục 6).</w:t>
      </w:r>
    </w:p>
    <w:p>
      <w:pPr>
        <w:pStyle w:val="Heading1"/>
        <w:pageBreakBefore/>
      </w:pPr>
      <w:r>
        <w:t xml:space="preserve">2. Đăng nhập hệ thống</w:t>
      </w:r>
    </w:p>
    <w:p>
      <w:pPr>
        <w:spacing w:after="60" w:before="140"/>
      </w:pPr>
      <w:r>
        <w:rPr>
          <w:b/>
          <w:bCs/>
          <w:color w:val="1F7DC1"/>
        </w:rPr>
        <w:t xml:space="preserve">Bước 1.  </w:t>
      </w:r>
      <w:r>
        <w:rPr>
          <w:b/>
          <w:bCs/>
        </w:rPr>
        <w:t xml:space="preserve">Mở trình duyệt, truy cập địa chỉ: https://eoffice.solutions.com.vn</w:t>
      </w:r>
    </w:p>
    <w:p>
      <w:pPr>
        <w:spacing w:after="60" w:before="140"/>
      </w:pPr>
      <w:r>
        <w:rPr>
          <w:b/>
          <w:bCs/>
          <w:color w:val="1F7DC1"/>
        </w:rPr>
        <w:t xml:space="preserve">Bước 2.  </w:t>
      </w:r>
      <w:r>
        <w:rPr>
          <w:b/>
          <w:bCs/>
        </w:rPr>
        <w:t xml:space="preserve">Nhập Email và Mật khẩu được cấp, rồi bấm "Đăng nhập".</w:t>
      </w:r>
    </w:p>
    <w:p>
      <w:pPr>
        <w:spacing w:after="120" w:line="300"/>
      </w:pPr>
      <w:r>
        <w:t xml:space="preserve">Ví dụ tài khoản nhân viên: ten.ho@solutions.com.vn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Màn hình đăng nhập E-Office  ]</w:t>
            </w:r>
          </w:p>
        </w:tc>
      </w:tr>
    </w:tbl>
    <w:p>
      <w:pPr>
        <w:pBdr>
          <w:left w:val="single" w:color="1F7DC1" w:sz="18" w:space="10"/>
        </w:pBdr>
        <w:shd w:fill="EAF3FB" w:val="clear"/>
        <w:spacing w:after="140" w:before="80" w:line="290"/>
      </w:pPr>
      <w:r>
        <w:rPr>
          <w:b/>
          <w:bCs/>
          <w:color w:val="1F7DC1"/>
        </w:rPr>
        <w:t xml:space="preserve">Lưu ý:  </w:t>
      </w:r>
      <w:r>
        <w:rPr>
          <w:i/>
          <w:iCs/>
        </w:rPr>
        <w:t xml:space="preserve">Quên mật khẩu hoặc chưa có tài khoản — liên hệ Quản trị (Admin) để được cấp / đặt lại.</w:t>
      </w:r>
    </w:p>
    <w:p>
      <w:pPr>
        <w:pStyle w:val="Heading1"/>
        <w:pageBreakBefore/>
      </w:pPr>
      <w:r>
        <w:t xml:space="preserve">3. Tạo phiếu Duyệt NCC (Người soạn)</w:t>
      </w:r>
    </w:p>
    <w:p>
      <w:pPr>
        <w:spacing w:after="60" w:before="140"/>
      </w:pPr>
      <w:r>
        <w:rPr>
          <w:b/>
          <w:bCs/>
          <w:color w:val="1F7DC1"/>
        </w:rPr>
        <w:t xml:space="preserve">Bước 1.  </w:t>
      </w:r>
      <w:r>
        <w:rPr>
          <w:b/>
          <w:bCs/>
        </w:rPr>
        <w:t xml:space="preserve">Vào menu "Duyệt NCC" ở thanh bên trái, bấm nút "Tạo phiếu" (hoặc dấu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Menu Duyệt NCC và nút Tạo phiếu  ]</w:t>
            </w:r>
          </w:p>
        </w:tc>
      </w:tr>
    </w:tbl>
    <w:p>
      <w:pPr>
        <w:spacing w:after="60" w:before="140"/>
      </w:pPr>
      <w:r>
        <w:rPr>
          <w:b/>
          <w:bCs/>
          <w:color w:val="1F7DC1"/>
        </w:rPr>
        <w:t xml:space="preserve">Bước 2.  </w:t>
      </w:r>
      <w:r>
        <w:rPr>
          <w:b/>
          <w:bCs/>
        </w:rPr>
        <w:t xml:space="preserve">Chọn Dự án và Hạng mục công việc (gõ để tìm nhanh, có bỏ dấu).</w:t>
      </w:r>
    </w:p>
    <w:p>
      <w:pPr>
        <w:spacing w:after="60" w:before="140"/>
      </w:pPr>
      <w:r>
        <w:rPr>
          <w:b/>
          <w:bCs/>
          <w:color w:val="1F7DC1"/>
        </w:rPr>
        <w:t xml:space="preserve">Bước 3.  </w:t>
      </w:r>
      <w:r>
        <w:rPr>
          <w:b/>
          <w:bCs/>
        </w:rPr>
        <w:t xml:space="preserve">Nhập thông tin gói thầu: Tên gói thầu, Địa điểm, Mô tả.</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Biểu mẫu tạo phiếu — chọn Dự án, Hạng mục, thông tin gói thầu  ]</w:t>
            </w:r>
          </w:p>
        </w:tc>
      </w:tr>
    </w:tbl>
    <w:p>
      <w:pPr>
        <w:spacing w:after="60" w:before="140"/>
      </w:pPr>
      <w:r>
        <w:rPr>
          <w:b/>
          <w:bCs/>
          <w:color w:val="1F7DC1"/>
        </w:rPr>
        <w:t xml:space="preserve">Bước 4.  </w:t>
      </w:r>
      <w:r>
        <w:rPr>
          <w:b/>
          <w:bCs/>
        </w:rPr>
        <w:t xml:space="preserve">Thêm Nhà cung cấp dự thầu và nhập Báo giá từng đơn vị (có thể thêm nhiều NCC để so sánh).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Thêm Nhà cung cấp và nhập báo giá  ]</w:t>
            </w:r>
          </w:p>
        </w:tc>
      </w:tr>
    </w:tbl>
    <w:p>
      <w:pPr>
        <w:spacing w:after="60" w:before="140"/>
      </w:pPr>
      <w:r>
        <w:rPr>
          <w:b/>
          <w:bCs/>
          <w:color w:val="1F7DC1"/>
        </w:rPr>
        <w:t xml:space="preserve">Bước 5.  </w:t>
      </w:r>
      <w:r>
        <w:rPr>
          <w:b/>
          <w:bCs/>
        </w:rPr>
        <w:t xml:space="preserve">Nhập Ngân sách (kỳ này) cho gói thầu.</w:t>
      </w:r>
    </w:p>
    <w:p>
      <w:pPr>
        <w:spacing w:after="60" w:before="140"/>
      </w:pPr>
      <w:r>
        <w:rPr>
          <w:b/>
          <w:bCs/>
          <w:color w:val="1F7DC1"/>
        </w:rPr>
        <w:t xml:space="preserve">Bước 6.  </w:t>
      </w:r>
      <w:r>
        <w:rPr>
          <w:b/>
          <w:bCs/>
        </w:rPr>
        <w:t xml:space="preserve">Chọn Quy trình duyệt áp dụng cho phiếu.</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Chọn Ngân sách và Quy trình duyệt  ]</w:t>
            </w:r>
          </w:p>
        </w:tc>
      </w:tr>
    </w:tbl>
    <w:p>
      <w:pPr>
        <w:pBdr>
          <w:left w:val="single" w:color="1F7DC1" w:sz="18" w:space="10"/>
        </w:pBdr>
        <w:shd w:fill="EAF3FB" w:val="clear"/>
        <w:spacing w:after="140" w:before="80" w:line="290"/>
      </w:pPr>
      <w:r>
        <w:rPr>
          <w:b/>
          <w:bCs/>
          <w:color w:val="1F7DC1"/>
        </w:rPr>
        <w:t xml:space="preserve">Lưu ý:  </w:t>
      </w:r>
      <w:r>
        <w:rPr>
          <w:i/>
          <w:iCs/>
        </w:rPr>
        <w:t xml:space="preserve">Phiếu lúc này ở trạng thái "Bản nháp" — chỉ người tạo (và Quản trị) nhìn thấy, chưa hiện cho người khác.</w:t>
      </w:r>
    </w:p>
    <w:p>
      <w:pPr>
        <w:pStyle w:val="Heading1"/>
        <w:pageBreakBefore/>
      </w:pPr>
      <w:r>
        <w:t xml:space="preserve">4. Gửi duyệt</w:t>
      </w:r>
    </w:p>
    <w:p>
      <w:pPr>
        <w:spacing w:after="60" w:before="140"/>
      </w:pPr>
      <w:r>
        <w:rPr>
          <w:b/>
          <w:bCs/>
          <w:color w:val="1F7DC1"/>
        </w:rPr>
        <w:t xml:space="preserve">Bước 1.  </w:t>
      </w:r>
      <w:r>
        <w:rPr>
          <w:b/>
          <w:bCs/>
        </w:rPr>
        <w:t xml:space="preserve">Kiểm tra Bảng kiểm (checklist): các trường bắt buộc đủ sẽ hiện dấu tích xanh; thiếu trường nào hiện dấu đỏ.</w:t>
      </w:r>
    </w:p>
    <w:p>
      <w:pPr>
        <w:spacing w:after="60" w:before="140"/>
      </w:pPr>
      <w:r>
        <w:rPr>
          <w:b/>
          <w:bCs/>
          <w:color w:val="1F7DC1"/>
        </w:rPr>
        <w:t xml:space="preserve">Bước 2.  </w:t>
      </w:r>
      <w:r>
        <w:rPr>
          <w:b/>
          <w:bCs/>
        </w:rPr>
        <w:t xml:space="preserve">Khi đã đủ, bấm nút "Gửi duyệt".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Bảng kiểm và nút Gửi duyệt  ]</w:t>
            </w:r>
          </w:p>
        </w:tc>
      </w:tr>
    </w:tbl>
    <w:p>
      <w:pPr>
        <w:spacing w:after="120" w:line="300"/>
      </w:pPr>
      <w:r>
        <w:t xml:space="preserve">Sau khi gửi, phiếu chuyển sang trạng thái chờ duyệt và tự động vào hộp thư (Inbox) của người duyệt cấp đầu tiên — kèm chuông thông báo.</w:t>
      </w:r>
    </w:p>
    <w:p>
      <w:pPr>
        <w:pStyle w:val="Heading1"/>
        <w:pageBreakBefore/>
      </w:pPr>
      <w:r>
        <w:t xml:space="preserve">5. Duyệt phiếu (Người duyệt)</w:t>
      </w:r>
    </w:p>
    <w:p>
      <w:pPr>
        <w:spacing w:after="60" w:before="140"/>
      </w:pPr>
      <w:r>
        <w:rPr>
          <w:b/>
          <w:bCs/>
          <w:color w:val="1F7DC1"/>
        </w:rPr>
        <w:t xml:space="preserve">Bước 1.  </w:t>
      </w:r>
      <w:r>
        <w:rPr>
          <w:b/>
          <w:bCs/>
        </w:rPr>
        <w:t xml:space="preserve">Khi phiếu vào cấp của mình, người duyệt nhận chuông báo. Mở "Việc cần làm" (Inbox) để xem phiếu chờ duyệt.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Hộp thư Việc cần làm — danh sách phiếu chờ duyệt  ]</w:t>
            </w:r>
          </w:p>
        </w:tc>
      </w:tr>
    </w:tbl>
    <w:p>
      <w:pPr>
        <w:spacing w:after="60" w:before="140"/>
      </w:pPr>
      <w:r>
        <w:rPr>
          <w:b/>
          <w:bCs/>
          <w:color w:val="1F7DC1"/>
        </w:rPr>
        <w:t xml:space="preserve">Bước 2.  </w:t>
      </w:r>
      <w:r>
        <w:rPr>
          <w:b/>
          <w:bCs/>
        </w:rPr>
        <w:t xml:space="preserve">Mở phiếu, xem nội dung: thông tin gói thầu, NCC + báo giá, ngân sách, bảng so sánh giá, link hồ sơ.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Nội dung phiếu — thông tin chọn thầu và bảng so sánh giá  ]</w:t>
            </w:r>
          </w:p>
        </w:tc>
      </w:tr>
    </w:tbl>
    <w:p>
      <w:pPr>
        <w:spacing w:after="60" w:before="140"/>
      </w:pPr>
      <w:r>
        <w:rPr>
          <w:b/>
          <w:bCs/>
          <w:color w:val="1F7DC1"/>
        </w:rPr>
        <w:t xml:space="preserve">Bước 3.  </w:t>
      </w:r>
      <w:r>
        <w:rPr>
          <w:b/>
          <w:bCs/>
        </w:rPr>
        <w:t xml:space="preserve">Nếu là phòng phụ trách, nhập Giá đề xuất (PRO hoặc CCM) và Ý kiến duyệt.</w:t>
      </w:r>
    </w:p>
    <w:p>
      <w:pPr>
        <w:spacing w:after="60" w:before="140"/>
      </w:pPr>
      <w:r>
        <w:rPr>
          <w:b/>
          <w:bCs/>
          <w:color w:val="1F7DC1"/>
        </w:rPr>
        <w:t xml:space="preserve">Bước 4.  </w:t>
      </w:r>
      <w:r>
        <w:rPr>
          <w:b/>
          <w:bCs/>
        </w:rPr>
        <w:t xml:space="preserve">Bấm "Duyệt" để chuyển phiếu lên cấp tiếp theo. Hoặc "Trả lại" (yêu cầu chỉnh sửa) / "Từ chối".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Khu vực Quyết định: Duyệt / Trả lại / Từ chối  ]</w:t>
            </w:r>
          </w:p>
        </w:tc>
      </w:tr>
    </w:tbl>
    <w:p>
      <w:pPr>
        <w:pBdr>
          <w:left w:val="single" w:color="1F7DC1" w:sz="18" w:space="10"/>
        </w:pBdr>
        <w:shd w:fill="EAF3FB" w:val="clear"/>
        <w:spacing w:after="140" w:before="80" w:line="290"/>
      </w:pPr>
      <w:r>
        <w:rPr>
          <w:b/>
          <w:bCs/>
          <w:color w:val="1F7DC1"/>
        </w:rPr>
        <w:t xml:space="preserve">Lưu ý:  </w:t>
      </w:r>
      <w:r>
        <w:rPr>
          <w:i/>
          <w:iCs/>
        </w:rPr>
        <w:t xml:space="preserve">Mỗi người chỉ thấy và duyệt phiếu khi tới đúng cấp của mình; phiếu bản nháp của người khác sẽ không hiển thị.</w:t>
      </w:r>
    </w:p>
    <w:p>
      <w:pPr>
        <w:pStyle w:val="Heading1"/>
        <w:pageBreakBefore/>
      </w:pPr>
      <w:r>
        <w:t xml:space="preserve">6. Cấp "Duyệt là KẾT THÚC" (không trình CEO)</w:t>
      </w:r>
    </w:p>
    <w:p>
      <w:pPr>
        <w:spacing w:after="120" w:line="300"/>
      </w:pPr>
      <w:r>
        <w:t xml:space="preserve">Quản trị có thể cấu hình một cấp duyệt là điểm KẾT THÚC quy trình. Khi người ở cấp đó duyệt, phiếu hoàn tất ngay (Đã duyệt) và KHÔNG trình tiếp lên Ban Giám đốc.</w:t>
      </w:r>
    </w:p>
    <w:p>
      <w:pPr>
        <w:spacing w:after="120" w:line="300"/>
      </w:pPr>
      <w:r>
        <w:rPr>
          <w:b/>
          <w:bCs/>
        </w:rPr>
        <w:t xml:space="preserve">Để mọi người nắm, hệ thống hiển thị rõ:</w:t>
      </w:r>
    </w:p>
    <w:p>
      <w:pPr>
        <w:pStyle w:val="ListParagraph"/>
        <w:numPr>
          <w:ilvl w:val="0"/>
          <w:numId w:val="2"/>
        </w:numPr>
        <w:spacing w:after="60" w:line="280"/>
      </w:pPr>
      <w:r>
        <w:t xml:space="preserve">Trong sơ đồ "Quy trình duyệt" của phiếu: cấp đó có nhãn "⚑ Duyệt thay CEO", và các bước phía sau (Ban Giám đốc) được làm mờ kèm chữ "không trình tới".</w:t>
      </w:r>
    </w:p>
    <w:p>
      <w:pPr>
        <w:pStyle w:val="ListParagraph"/>
        <w:numPr>
          <w:ilvl w:val="0"/>
          <w:numId w:val="2"/>
        </w:numPr>
        <w:spacing w:after="60" w:line="280"/>
      </w:pPr>
      <w:r>
        <w:t xml:space="preserve">Đầu khối quy trình có dòng nhắc: "Quy trình rút gọn: duyệt đến cấp này là KẾT THÚC, không trình CEO. Các cấp trước vẫn duyệt như thường."</w:t>
      </w:r>
    </w:p>
    <w:p>
      <w:pPr>
        <w:pStyle w:val="ListParagraph"/>
        <w:numPr>
          <w:ilvl w:val="0"/>
          <w:numId w:val="2"/>
        </w:numPr>
        <w:spacing w:after="60" w:line="280"/>
      </w:pPr>
      <w:r>
        <w:t xml:space="preserve">Ở danh sách phiếu và Inbox: hiển thị chip "⚑ Kết thúc · &lt;Phòng&gt;".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Sơ đồ quy trình — nhãn "Duyệt thay CEO" và bước CEO làm mờ  ]</w:t>
            </w:r>
          </w:p>
        </w:tc>
      </w:tr>
    </w:tbl>
    <w:p>
      <w:pPr>
        <w:pStyle w:val="Heading1"/>
        <w:pageBreakBefore/>
      </w:pPr>
      <w:r>
        <w:t xml:space="preserve">7. Sau khi duyệt — Tạo hợp đồng</w:t>
      </w:r>
    </w:p>
    <w:p>
      <w:pPr>
        <w:spacing w:after="60" w:before="140"/>
      </w:pPr>
      <w:r>
        <w:rPr>
          <w:b/>
          <w:bCs/>
          <w:color w:val="1F7DC1"/>
        </w:rPr>
        <w:t xml:space="preserve">Bước 1.  </w:t>
      </w:r>
      <w:r>
        <w:rPr>
          <w:b/>
          <w:bCs/>
        </w:rPr>
        <w:t xml:space="preserve">Phiếu ở trạng thái "Đã duyệt" sẽ có nút "Tạo HĐ".</w:t>
      </w:r>
    </w:p>
    <w:p>
      <w:pPr>
        <w:spacing w:after="60" w:before="140"/>
      </w:pPr>
      <w:r>
        <w:rPr>
          <w:b/>
          <w:bCs/>
          <w:color w:val="1F7DC1"/>
        </w:rPr>
        <w:t xml:space="preserve">Bước 2.  </w:t>
      </w:r>
      <w:r>
        <w:rPr>
          <w:b/>
          <w:bCs/>
        </w:rPr>
        <w:t xml:space="preserve">Bấm "Tạo HĐ" — hệ thống tạo hợp đồng nháp tương ứng (nếu chọn nhiều đơn vị trúng thầu, tạo 1 hợp đồng cho mỗi đơn vị).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Nút Tạo HĐ trên phiếu Đã duyệt và hợp đồng nháp được tạo  ]</w:t>
            </w:r>
          </w:p>
        </w:tc>
      </w:tr>
    </w:tbl>
    <w:p>
      <w:pPr>
        <w:pBdr>
          <w:left w:val="single" w:color="1F7DC1" w:sz="18" w:space="10"/>
        </w:pBdr>
        <w:shd w:fill="EAF3FB" w:val="clear"/>
        <w:spacing w:after="140" w:before="80" w:line="290"/>
      </w:pPr>
      <w:r>
        <w:rPr>
          <w:b/>
          <w:bCs/>
          <w:color w:val="1F7DC1"/>
        </w:rPr>
        <w:t xml:space="preserve">Lưu ý:  </w:t>
      </w:r>
      <w:r>
        <w:rPr>
          <w:i/>
          <w:iCs/>
        </w:rPr>
        <w:t xml:space="preserve">Giá trị hợp đồng nháp lấy theo giá đơn vị trúng đã chào; có thể chỉnh lại trong hợp đồng nháp trước khi trình ký.</w:t>
      </w:r>
    </w:p>
    <w:p>
      <w:pPr>
        <w:pStyle w:val="Heading1"/>
        <w:pageBreakBefore/>
      </w:pPr>
      <w:r>
        <w:t xml:space="preserve">8. Theo dõi phiếu</w:t>
      </w:r>
    </w:p>
    <w:p>
      <w:pPr>
        <w:pStyle w:val="ListParagraph"/>
        <w:numPr>
          <w:ilvl w:val="0"/>
          <w:numId w:val="2"/>
        </w:numPr>
        <w:spacing w:after="60" w:line="280"/>
      </w:pPr>
      <w:r>
        <w:t xml:space="preserve">Danh sách phiếu: cây phân cấp Năm &gt; Dự án &gt; Hạng mục &gt; Phiếu, có cờ GẤP và chip trạng thái.</w:t>
      </w:r>
    </w:p>
    <w:p>
      <w:pPr>
        <w:pStyle w:val="ListParagraph"/>
        <w:numPr>
          <w:ilvl w:val="0"/>
          <w:numId w:val="2"/>
        </w:numPr>
        <w:spacing w:after="60" w:line="280"/>
      </w:pPr>
      <w:r>
        <w:t xml:space="preserve">Inbox (Việc cần làm): các phiếu đang chờ chính mình xử lý.</w:t>
      </w:r>
    </w:p>
    <w:p>
      <w:pPr>
        <w:pStyle w:val="ListParagraph"/>
        <w:numPr>
          <w:ilvl w:val="0"/>
          <w:numId w:val="2"/>
        </w:numPr>
        <w:spacing w:after="60" w:line="280"/>
      </w:pPr>
      <w:r>
        <w:t xml:space="preserve">Trang chủ (Dashboard): các phiếu Duyệt NCC gần đây kèm trạng thái và chip "Kết thúc".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rHeight w:val="1500" w:hRule="atLeast"/>
        </w:trPr>
        <w:tc>
          <w:tcPr>
            <w:tcW w:type="dxa" w:w="9026"/>
            <w:tcBorders>
              <w:top w:val="dashed" w:color="B6C2D9" w:sz="4"/>
              <w:left w:val="dashed" w:color="B6C2D9" w:sz="4"/>
              <w:bottom w:val="dashed" w:color="B6C2D9" w:sz="4"/>
              <w:right w:val="dashed" w:color="B6C2D9" w:sz="4"/>
            </w:tcBorders>
            <w:shd w:fill="F8F9FB" w:val="clear"/>
            <w:tcMar>
              <w:top w:type="dxa" w:w="220"/>
              <w:left w:type="dxa" w:w="200"/>
              <w:bottom w:type="dxa" w:w="220"/>
              <w:right w:type="dxa" w:w="200"/>
            </w:tcMar>
            <w:vAlign w:val="center"/>
          </w:tcPr>
          <w:p>
            <w:pPr>
              <w:jc w:val="center"/>
            </w:pPr>
            <w:r>
              <w:rPr>
                <w:i/>
                <w:iCs/>
                <w:color w:val="8A94A6"/>
              </w:rPr>
              <w:t xml:space="preserve">[  Ảnh chụp màn hình — khoanh đỏ thao tác theo số (1 → 2 → 3):  Danh sách phiếu, Inbox và Dashboard  ]</w:t>
            </w:r>
          </w:p>
        </w:tc>
      </w:tr>
    </w:tbl>
    <w:p>
      <w:pPr>
        <w:spacing w:before="400"/>
        <w:jc w:val="center"/>
      </w:pPr>
      <w:r>
        <w:rPr>
          <w:b/>
          <w:bCs/>
          <w:color w:val="8A94A6"/>
        </w:rPr>
        <w:t xml:space="preserve">— HẾT —</w:t>
      </w:r>
    </w:p>
    <w:p>
      <w:pPr>
        <w:jc w:val="center"/>
      </w:pPr>
      <w:r>
        <w:rPr>
          <w:i/>
          <w:iCs/>
          <w:color w:val="8A94A6"/>
          <w:sz w:val="18"/>
          <w:szCs w:val="18"/>
        </w:rPr>
        <w:t xml:space="preserve">Mọi thắc mắc về quy trình, vui lòng liên hệ Quản trị hệ thống (Admin).</w:t>
      </w:r>
    </w:p>
    <w:sectPr>
      <w:footerReference w:type="default" r:id="rId7"/>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E8" w:sz="4" w:space="6"/>
      </w:pBdr>
      <w:tabs>
        <w:tab w:val="right" w:pos="9026"/>
      </w:tabs>
    </w:pPr>
    <w:r>
      <w:rPr>
        <w:color w:val="8A94A6"/>
        <w:sz w:val="16"/>
        <w:szCs w:val="16"/>
      </w:rPr>
      <w:t xml:space="preserve">Hướng dẫn Duyệt NCC — Hệ thống E-Office Solutions</w:t>
    </w:r>
    <w:r>
      <w:rPr>
        <w:color w:val="8A94A6"/>
        <w:sz w:val="16"/>
        <w:szCs w:val="16"/>
      </w:rPr>
      <w:t xml:space="preserve">	Trang </w:t>
    </w:r>
    <w:r>
      <w:rPr>
        <w:color w:val="8A94A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B1B2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7DC1"/>
      <w:sz w:val="30"/>
      <w:szCs w:val="30"/>
    </w:rPr>
  </w:style>
  <w:style w:type="paragraph" w:styleId="Heading2">
    <w:name w:val="Heading 2"/>
    <w:basedOn w:val="Normal"/>
    <w:next w:val="Normal"/>
    <w:qFormat/>
    <w:pPr>
      <w:spacing w:after="100" w:before="200"/>
      <w:outlineLvl w:val="1"/>
    </w:pPr>
    <w:rPr>
      <w:rFonts w:ascii="Arial" w:cs="Arial" w:eastAsia="Arial" w:hAnsi="Arial"/>
      <w:b/>
      <w:bCs/>
      <w:color w:val="0B1B2B"/>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6c152830ca30586679a6b7a28d29bb0511fed233.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Huong dan su dung - Duyet NCC</dc:title>
  <dc:creator>Cong ty TNHH Xay dung Solutions</dc:creator>
  <cp:lastModifiedBy>Un-named</cp:lastModifiedBy>
  <cp:revision>1</cp:revision>
  <dcterms:created xsi:type="dcterms:W3CDTF">2026-06-25T09:52:23.794Z</dcterms:created>
  <dcterms:modified xsi:type="dcterms:W3CDTF">2026-06-25T09:52:23.794Z</dcterms:modified>
</cp:coreProperties>
</file>

<file path=docProps/custom.xml><?xml version="1.0" encoding="utf-8"?>
<Properties xmlns="http://schemas.openxmlformats.org/officeDocument/2006/custom-properties" xmlns:vt="http://schemas.openxmlformats.org/officeDocument/2006/docPropsVTypes"/>
</file>